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bCs/>
          <w:color w:val="64A3D9"/>
          <w:sz w:val="36"/>
          <w:szCs w:val="36"/>
        </w:rPr>
      </w:pPr>
      <w:r>
        <w:rPr>
          <w:b/>
          <w:bCs/>
          <w:color w:val="64A3D9"/>
          <w:sz w:val="36"/>
          <w:szCs w:val="36"/>
        </w:rPr>
        <w:t>MARTIN PARR - WOW!</w:t>
      </w:r>
    </w:p>
    <w:p>
      <w:pPr>
        <w:pStyle w:val="Normal"/>
        <w:jc w:val="center"/>
        <w:rPr>
          <w:color w:val="64A3D9"/>
          <w:sz w:val="36"/>
          <w:szCs w:val="36"/>
        </w:rPr>
      </w:pPr>
      <w:r>
        <w:rPr>
          <w:color w:val="64A3D9"/>
          <w:sz w:val="36"/>
          <w:szCs w:val="36"/>
        </w:rPr>
        <w:t>Dal 13 dicembre 2025 all’11 gennaio 2026 al Tempio di Pomona</w:t>
      </w:r>
    </w:p>
    <w:p>
      <w:pPr>
        <w:pStyle w:val="Normal"/>
        <w:jc w:val="center"/>
        <w:rPr>
          <w:color w:val="64A3D9"/>
          <w:sz w:val="36"/>
          <w:szCs w:val="36"/>
        </w:rPr>
      </w:pPr>
      <w:bookmarkStart w:id="0" w:name="OLE_LINK1"/>
      <w:r>
        <w:rPr>
          <w:color w:val="64A3D9"/>
          <w:sz w:val="36"/>
          <w:szCs w:val="36"/>
        </w:rPr>
        <w:t>Salerno ricorda il grande fotografo britannico</w:t>
      </w:r>
      <w:bookmarkEnd w:id="0"/>
    </w:p>
    <w:p>
      <w:pPr>
        <w:pStyle w:val="Normal"/>
        <w:jc w:val="center"/>
        <w:rPr>
          <w:b/>
          <w:b/>
          <w:bCs/>
          <w:color w:val="64A3D9"/>
          <w:sz w:val="32"/>
          <w:szCs w:val="32"/>
        </w:rPr>
      </w:pPr>
      <w:r>
        <w:rPr>
          <w:b/>
          <w:bCs/>
          <w:color w:val="64A3D9"/>
          <w:sz w:val="32"/>
          <w:szCs w:val="32"/>
        </w:rPr>
      </w:r>
    </w:p>
    <w:p>
      <w:pPr>
        <w:pStyle w:val="Normal"/>
        <w:jc w:val="center"/>
        <w:rPr>
          <w:b/>
          <w:b/>
          <w:bCs/>
          <w:color w:val="64A3D9"/>
          <w:sz w:val="32"/>
          <w:szCs w:val="32"/>
        </w:rPr>
      </w:pPr>
      <w:r>
        <w:rPr>
          <w:b/>
          <w:bCs/>
          <w:color w:val="64A3D9"/>
          <w:sz w:val="32"/>
          <w:szCs w:val="32"/>
        </w:rPr>
        <w:t xml:space="preserve">La mostra realizzata dal Fondo Welfare culturale </w:t>
      </w:r>
    </w:p>
    <w:p>
      <w:pPr>
        <w:pStyle w:val="Normal"/>
        <w:jc w:val="center"/>
        <w:rPr>
          <w:b/>
          <w:b/>
          <w:bCs/>
          <w:color w:val="64A3D9"/>
          <w:sz w:val="32"/>
          <w:szCs w:val="32"/>
        </w:rPr>
      </w:pPr>
      <w:r>
        <w:rPr>
          <w:b/>
          <w:bCs/>
          <w:color w:val="64A3D9"/>
          <w:sz w:val="32"/>
          <w:szCs w:val="32"/>
        </w:rPr>
        <w:t>di Fondazione della Comunità Salernitana Ets</w:t>
      </w:r>
    </w:p>
    <w:p>
      <w:pPr>
        <w:pStyle w:val="Normal"/>
        <w:jc w:val="center"/>
        <w:rPr>
          <w:b/>
          <w:b/>
          <w:bCs/>
          <w:sz w:val="32"/>
          <w:szCs w:val="32"/>
        </w:rPr>
      </w:pPr>
      <w:r>
        <w:rPr>
          <w:b/>
          <w:bCs/>
          <w:color w:val="64A3D9"/>
          <w:sz w:val="32"/>
          <w:szCs w:val="32"/>
        </w:rPr>
        <w:t>in collaborazione con Tempi Moderni e Yeast Photo Festival</w:t>
      </w:r>
    </w:p>
    <w:p>
      <w:pPr>
        <w:pStyle w:val="Normal"/>
        <w:rPr>
          <w:b/>
          <w:b/>
          <w:bCs/>
          <w:color w:val="ED7D31" w:themeColor="accent2"/>
          <w:sz w:val="22"/>
          <w:szCs w:val="22"/>
        </w:rPr>
      </w:pPr>
      <w:r>
        <w:rPr>
          <w:b/>
          <w:bCs/>
          <w:color w:val="ED7D31" w:themeColor="accent2"/>
          <w:sz w:val="22"/>
          <w:szCs w:val="22"/>
        </w:rPr>
      </w:r>
    </w:p>
    <w:p>
      <w:pPr>
        <w:pStyle w:val="Normal"/>
        <w:rPr>
          <w:b/>
          <w:b/>
          <w:bCs/>
          <w:color w:val="ED7D31" w:themeColor="accent2"/>
          <w:sz w:val="22"/>
          <w:szCs w:val="22"/>
        </w:rPr>
      </w:pPr>
      <w:r>
        <w:rPr>
          <w:b/>
          <w:bCs/>
          <w:color w:val="ED7D31" w:themeColor="accent2"/>
          <w:sz w:val="22"/>
          <w:szCs w:val="22"/>
        </w:rPr>
      </w:r>
    </w:p>
    <w:p>
      <w:pPr>
        <w:pStyle w:val="Normal"/>
        <w:rPr>
          <w:b/>
          <w:b/>
          <w:bCs/>
          <w:color w:val="ED7D31" w:themeColor="accent2"/>
          <w:sz w:val="22"/>
          <w:szCs w:val="22"/>
        </w:rPr>
      </w:pPr>
      <w:r>
        <w:rPr>
          <w:b/>
          <w:bCs/>
          <w:color w:val="ED7D31" w:themeColor="accent2"/>
          <w:sz w:val="22"/>
          <w:szCs w:val="22"/>
        </w:rPr>
      </w:r>
    </w:p>
    <w:p>
      <w:pPr>
        <w:pStyle w:val="Normal"/>
        <w:rPr>
          <w:b/>
          <w:b/>
          <w:bCs/>
          <w:color w:val="ED7D31" w:themeColor="accent2"/>
          <w:sz w:val="22"/>
          <w:szCs w:val="22"/>
        </w:rPr>
      </w:pPr>
      <w:r>
        <w:rPr>
          <w:b/>
          <w:bCs/>
          <w:color w:val="ED7D31" w:themeColor="accent2"/>
          <w:sz w:val="22"/>
          <w:szCs w:val="22"/>
        </w:rPr>
      </w:r>
    </w:p>
    <w:p>
      <w:pPr>
        <w:pStyle w:val="Normal"/>
        <w:rPr>
          <w:b/>
          <w:b/>
          <w:bCs/>
          <w:color w:val="64A3D9"/>
          <w:sz w:val="22"/>
          <w:szCs w:val="22"/>
        </w:rPr>
      </w:pPr>
      <w:r>
        <w:rPr>
          <w:b/>
          <w:bCs/>
          <w:color w:val="64A3D9"/>
          <w:sz w:val="22"/>
          <w:szCs w:val="22"/>
        </w:rPr>
        <w:t>COMUNICATO STAMPA</w:t>
      </w:r>
    </w:p>
    <w:p>
      <w:pPr>
        <w:pStyle w:val="Normal"/>
        <w:jc w:val="both"/>
        <w:rPr>
          <w:sz w:val="22"/>
          <w:szCs w:val="22"/>
        </w:rPr>
      </w:pPr>
      <w:r>
        <w:rPr>
          <w:sz w:val="22"/>
          <w:szCs w:val="22"/>
        </w:rPr>
        <w:t xml:space="preserve">A pochi giorni dalla prematura morte del fotografo britannico </w:t>
      </w:r>
      <w:r>
        <w:rPr>
          <w:b/>
          <w:bCs/>
          <w:sz w:val="22"/>
          <w:szCs w:val="22"/>
        </w:rPr>
        <w:t>Martin Parr</w:t>
      </w:r>
      <w:r>
        <w:rPr>
          <w:sz w:val="22"/>
          <w:szCs w:val="22"/>
        </w:rPr>
        <w:t xml:space="preserve">, scomparso a 73 anni sabato scorso nella sua abitazione di Bristol, il </w:t>
      </w:r>
      <w:r>
        <w:rPr>
          <w:b/>
          <w:bCs/>
          <w:sz w:val="22"/>
          <w:szCs w:val="22"/>
        </w:rPr>
        <w:t>Fondo Welfare culturale di Fondazione della Comunità Salernitana Ets</w:t>
      </w:r>
      <w:r>
        <w:rPr>
          <w:sz w:val="22"/>
          <w:szCs w:val="22"/>
        </w:rPr>
        <w:t>, in collaborazione con l’</w:t>
      </w:r>
      <w:r>
        <w:rPr>
          <w:b/>
          <w:bCs/>
          <w:sz w:val="22"/>
          <w:szCs w:val="22"/>
        </w:rPr>
        <w:t>Associazione culturale Tempi Moderni</w:t>
      </w:r>
      <w:r>
        <w:rPr>
          <w:sz w:val="22"/>
          <w:szCs w:val="22"/>
        </w:rPr>
        <w:t xml:space="preserve"> e Yeast Photo Festival, presentano </w:t>
      </w:r>
      <w:r>
        <w:rPr>
          <w:b/>
          <w:bCs/>
          <w:sz w:val="22"/>
          <w:szCs w:val="22"/>
        </w:rPr>
        <w:t>“Wow!”,</w:t>
      </w:r>
      <w:r>
        <w:rPr>
          <w:sz w:val="22"/>
          <w:szCs w:val="22"/>
        </w:rPr>
        <w:t xml:space="preserve"> la mostra che </w:t>
      </w:r>
      <w:r>
        <w:rPr>
          <w:b/>
          <w:bCs/>
          <w:sz w:val="22"/>
          <w:szCs w:val="22"/>
        </w:rPr>
        <w:t>dal 13 dicembre 2025 all’11 gennaio 2026</w:t>
      </w:r>
      <w:r>
        <w:rPr>
          <w:sz w:val="22"/>
          <w:szCs w:val="22"/>
        </w:rPr>
        <w:t xml:space="preserve"> sarà allestita al </w:t>
      </w:r>
      <w:r>
        <w:rPr>
          <w:b/>
          <w:bCs/>
          <w:sz w:val="22"/>
          <w:szCs w:val="22"/>
        </w:rPr>
        <w:t>Tempio di Pomona</w:t>
      </w:r>
      <w:r>
        <w:rPr>
          <w:sz w:val="22"/>
          <w:szCs w:val="22"/>
        </w:rPr>
        <w:t xml:space="preserve"> a Salerno. “Wow!” è curata da </w:t>
      </w:r>
      <w:r>
        <w:rPr>
          <w:b/>
          <w:bCs/>
          <w:sz w:val="22"/>
          <w:szCs w:val="22"/>
        </w:rPr>
        <w:t xml:space="preserve">Jan von Holleben </w:t>
      </w:r>
      <w:r>
        <w:rPr>
          <w:sz w:val="22"/>
          <w:szCs w:val="22"/>
        </w:rPr>
        <w:t>ed</w:t>
      </w:r>
      <w:r>
        <w:rPr>
          <w:b/>
          <w:bCs/>
          <w:sz w:val="22"/>
          <w:szCs w:val="22"/>
        </w:rPr>
        <w:t xml:space="preserve"> Edda Fahrenhorst</w:t>
      </w:r>
      <w:r>
        <w:rPr>
          <w:sz w:val="22"/>
          <w:szCs w:val="22"/>
        </w:rPr>
        <w:t xml:space="preserve"> ed è un progetto espositivo di </w:t>
      </w:r>
      <w:r>
        <w:rPr>
          <w:b/>
          <w:bCs/>
          <w:sz w:val="22"/>
          <w:szCs w:val="22"/>
        </w:rPr>
        <w:t>Otm Company</w:t>
      </w:r>
      <w:r>
        <w:rPr>
          <w:sz w:val="22"/>
          <w:szCs w:val="22"/>
        </w:rPr>
        <w:t xml:space="preserve"> per </w:t>
      </w:r>
      <w:r>
        <w:rPr>
          <w:b/>
          <w:bCs/>
          <w:sz w:val="22"/>
          <w:szCs w:val="22"/>
        </w:rPr>
        <w:t>Kids Love Photography</w:t>
      </w:r>
      <w:r>
        <w:rPr>
          <w:sz w:val="22"/>
          <w:szCs w:val="22"/>
        </w:rPr>
        <w:t>.</w:t>
      </w:r>
    </w:p>
    <w:p>
      <w:pPr>
        <w:pStyle w:val="Normal"/>
        <w:jc w:val="both"/>
        <w:rPr>
          <w:sz w:val="22"/>
          <w:szCs w:val="22"/>
        </w:rPr>
      </w:pPr>
      <w:r>
        <w:rPr>
          <w:sz w:val="22"/>
          <w:szCs w:val="22"/>
        </w:rPr>
      </w:r>
    </w:p>
    <w:p>
      <w:pPr>
        <w:pStyle w:val="Normal"/>
        <w:jc w:val="both"/>
        <w:rPr>
          <w:sz w:val="22"/>
          <w:szCs w:val="22"/>
        </w:rPr>
      </w:pPr>
      <w:r>
        <w:rPr>
          <w:sz w:val="22"/>
          <w:szCs w:val="22"/>
        </w:rPr>
        <w:t>“</w:t>
      </w:r>
      <w:r>
        <w:rPr>
          <w:sz w:val="22"/>
          <w:szCs w:val="22"/>
        </w:rPr>
        <w:t>Wow!” è una mostra ispirata all’omonimo libro della collana “Il Mondo nei tuoi occhi”, che invita bambini, famiglie e adulti a esplorare le fotografie di Martin Parr attraverso accostamenti ironici e sorprendenti. Le immagini, tratte dal vasto archivio dell’autore, diventano occasioni di gioco visivo e stimolo alla curiosità: un percorso che aiuta a sviluppare uno sguardo critico e consapevole sulle immagini. Il progetto, curato da Jan von Holleben ed Edda Fahrenhorst, riflette l’approccio educativo di KidslovePhotography e la visione di OTM Company nella produzione di contenuti fotografici per il pubblico più giovane, pienamente condiviso dagli organizzatori.</w:t>
      </w:r>
    </w:p>
    <w:p>
      <w:pPr>
        <w:pStyle w:val="Normal"/>
        <w:jc w:val="both"/>
        <w:rPr>
          <w:sz w:val="22"/>
          <w:szCs w:val="22"/>
        </w:rPr>
      </w:pPr>
      <w:r>
        <w:rPr>
          <w:sz w:val="22"/>
          <w:szCs w:val="22"/>
        </w:rPr>
      </w:r>
    </w:p>
    <w:p>
      <w:pPr>
        <w:pStyle w:val="Normal"/>
        <w:jc w:val="both"/>
        <w:rPr>
          <w:sz w:val="22"/>
          <w:szCs w:val="22"/>
        </w:rPr>
      </w:pPr>
      <w:r>
        <w:rPr>
          <w:sz w:val="22"/>
          <w:szCs w:val="22"/>
        </w:rPr>
        <w:t>Martin Parr è stato uno dei più influenti e originali interpreti della fotografia contemporanea, ha dedicato la vita a esplorare le società occidentali, lasciando un segno indelebile nel panorama artistico internazionale. Laureato al Manchester Polytechnic nel 1973, ha inteso la fotografia come strumento di analisi sociologica, rivelando con colore vivace e in modo spesso grottesco le contraddizioni di un mondo in rapido cambiamento. Dal 1994 membro dell’agenzia Magnum, di cui è stato anche Presidente, Parr ha segnato un passaggio significativo nella documentazione sociale, illustrando il passaggio dall’industria pesante a una società dominata dal consumo e dai servizi. La sua fotografia non si è mai fermata alla semplice osservazione: è stata sempre un atto di critica, un modo affilato per rivelare gli aspetti più burrascosi e spesso nascosti della vita quotidiana. La sua capacità di cogliere il grottesco nel banale ha fatto sì che le sue fotografie si trasformassero in un commento acuto al consumo sfrenato e alla modernità spesso vuota di significato. Parr si definiva un “documentarista che affronta soggetti seri travestiti da intrattenimento”, e questo suo stile accordava un’ironia tagliente a un’analisi delle abitudini e delle ossessioni contemporanee. Una definizione, quella di “documentarista”, non casuale, visto che Parr diresse nel 1999 il film Think of England, in cui esplorava le attività ricreative e i luoghi comuni della cultura inglese, contribuendo a far emergere le contraddizioni e le sfumature di un’identità nazionale complessa e spesso stereotipata. Un’opera che si caratterizza, proprio come tutta la sua fotografia, per il forte senso di ironia e per la costante volontà di smascherare le illusioni di un mondo apparente, offrendo allo spettatore un’esperienza estetica e riflessiva allo stesso tempo.</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t>La mostra al Tempio di Pomona, “Wow!”, a cura di Jan von Holleben ed Edda Fahrenhorst, è realizzata dal Fondo Welfare culturale di Fondazione della Comunità Salernitana Ets, in collaborazione con l’associazione culturale Tempi Moderni e Yeast Photo Festival ed è patrocinata da: Regione Campania, Comune di Salerno, Camera di Commercio di Salerno, Curia Arcivescovile di Salerno - Campagna – Acerno, Salerno Sacra, Ordine degli Architetti di Salerno. Con il sostegno di: Regione Campania- Scabec, Bcc Banca Campania Centro, Bcc Aquara, Artwork Soc. Coop. Sociale. Sponsor tecnici: Pedone e Tomeo Architets Lab, Santo Stefano acqua minerale naturale.</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b/>
          <w:b/>
          <w:bCs/>
          <w:sz w:val="22"/>
          <w:szCs w:val="22"/>
        </w:rPr>
      </w:pPr>
      <w:r>
        <w:rPr>
          <w:b/>
          <w:bCs/>
          <w:sz w:val="22"/>
          <w:szCs w:val="22"/>
        </w:rPr>
        <w:t>INFORMAZIONI MOSTRA</w:t>
      </w:r>
    </w:p>
    <w:p>
      <w:pPr>
        <w:pStyle w:val="Normal"/>
        <w:jc w:val="both"/>
        <w:rPr>
          <w:sz w:val="22"/>
          <w:szCs w:val="22"/>
        </w:rPr>
      </w:pPr>
      <w:r>
        <w:rPr>
          <w:sz w:val="22"/>
          <w:szCs w:val="22"/>
        </w:rPr>
        <w:t xml:space="preserve">Orari apertura al pubblico: </w:t>
      </w:r>
    </w:p>
    <w:p>
      <w:pPr>
        <w:pStyle w:val="Normal"/>
        <w:jc w:val="both"/>
        <w:rPr>
          <w:sz w:val="22"/>
          <w:szCs w:val="22"/>
        </w:rPr>
      </w:pPr>
      <w:r>
        <w:rPr>
          <w:sz w:val="22"/>
          <w:szCs w:val="22"/>
        </w:rPr>
        <w:t>dal lunedì alla domenica, dalle ore 10.30 alle 20.30</w:t>
      </w:r>
    </w:p>
    <w:p>
      <w:pPr>
        <w:pStyle w:val="Normal"/>
        <w:jc w:val="both"/>
        <w:rPr>
          <w:sz w:val="22"/>
          <w:szCs w:val="22"/>
        </w:rPr>
      </w:pPr>
      <w:r>
        <w:rPr>
          <w:sz w:val="22"/>
          <w:szCs w:val="22"/>
        </w:rPr>
        <w:t>Il 24 e il 31 dicembre, dalle ore 10.30 alle ore 13.30</w:t>
      </w:r>
    </w:p>
    <w:p>
      <w:pPr>
        <w:pStyle w:val="Normal"/>
        <w:jc w:val="both"/>
        <w:rPr>
          <w:sz w:val="22"/>
          <w:szCs w:val="22"/>
        </w:rPr>
      </w:pPr>
      <w:r>
        <w:rPr>
          <w:sz w:val="22"/>
          <w:szCs w:val="22"/>
        </w:rPr>
        <w:t>Il 25 dicembre e il 1° gennaio, dalle ore 16.30 alle 20.30</w:t>
      </w:r>
    </w:p>
    <w:p>
      <w:pPr>
        <w:pStyle w:val="Normal"/>
        <w:jc w:val="both"/>
        <w:rPr>
          <w:sz w:val="22"/>
          <w:szCs w:val="22"/>
        </w:rPr>
      </w:pPr>
      <w:r>
        <w:rPr>
          <w:sz w:val="22"/>
          <w:szCs w:val="22"/>
        </w:rPr>
        <w:t>Biglietto: 5 euro</w:t>
      </w:r>
    </w:p>
    <w:p>
      <w:pPr>
        <w:pStyle w:val="Normal"/>
        <w:jc w:val="both"/>
        <w:rPr>
          <w:sz w:val="22"/>
          <w:szCs w:val="22"/>
        </w:rPr>
      </w:pPr>
      <w:r>
        <w:rPr>
          <w:sz w:val="22"/>
          <w:szCs w:val="22"/>
        </w:rPr>
        <w:t>Biglietto ridotto: 4 euro</w:t>
      </w:r>
    </w:p>
    <w:p>
      <w:pPr>
        <w:pStyle w:val="Normal"/>
        <w:jc w:val="both"/>
        <w:rPr>
          <w:sz w:val="22"/>
          <w:szCs w:val="22"/>
        </w:rPr>
      </w:pPr>
      <w:r>
        <w:rPr>
          <w:sz w:val="22"/>
          <w:szCs w:val="22"/>
        </w:rPr>
        <w:t>gratuito per bambini (fino a 13 anni)</w:t>
      </w:r>
    </w:p>
    <w:p>
      <w:pPr>
        <w:pStyle w:val="Normal"/>
        <w:jc w:val="both"/>
        <w:rPr>
          <w:sz w:val="22"/>
          <w:szCs w:val="22"/>
        </w:rPr>
      </w:pPr>
      <w:r>
        <w:rPr>
          <w:sz w:val="22"/>
          <w:szCs w:val="22"/>
        </w:rPr>
        <w:t>Per riduzioni e altre info:</w:t>
      </w:r>
    </w:p>
    <w:p>
      <w:pPr>
        <w:pStyle w:val="Normal"/>
        <w:jc w:val="both"/>
        <w:rPr>
          <w:sz w:val="22"/>
          <w:szCs w:val="22"/>
        </w:rPr>
      </w:pPr>
      <w:r>
        <w:rPr>
          <w:sz w:val="22"/>
          <w:szCs w:val="22"/>
        </w:rPr>
        <w:t>www.fondazionecomunitasalernitana.it</w:t>
      </w:r>
    </w:p>
    <w:p>
      <w:pPr>
        <w:pStyle w:val="Normal"/>
        <w:jc w:val="both"/>
        <w:rPr>
          <w:sz w:val="22"/>
          <w:szCs w:val="22"/>
        </w:rPr>
      </w:pPr>
      <w:r>
        <w:rPr>
          <w:sz w:val="22"/>
          <w:szCs w:val="22"/>
        </w:rPr>
        <w:t>www.tempimodernidee.com</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18"/>
          <w:szCs w:val="18"/>
        </w:rPr>
      </w:pPr>
      <w:r>
        <w:rPr>
          <w:sz w:val="18"/>
          <w:szCs w:val="18"/>
        </w:rPr>
        <w:t>Ufficio Stampa Tempi Moderni</w:t>
      </w:r>
    </w:p>
    <w:p>
      <w:pPr>
        <w:pStyle w:val="Normal"/>
        <w:jc w:val="both"/>
        <w:rPr>
          <w:b/>
          <w:b/>
          <w:bCs/>
          <w:i/>
          <w:i/>
          <w:iCs/>
          <w:sz w:val="18"/>
          <w:szCs w:val="18"/>
        </w:rPr>
      </w:pPr>
      <w:r>
        <w:rPr>
          <w:b/>
          <w:bCs/>
          <w:i/>
          <w:iCs/>
          <w:sz w:val="18"/>
          <w:szCs w:val="18"/>
        </w:rPr>
        <w:t xml:space="preserve">Carlo Pecoraro </w:t>
      </w:r>
    </w:p>
    <w:p>
      <w:pPr>
        <w:pStyle w:val="Normal"/>
        <w:jc w:val="both"/>
        <w:rPr>
          <w:i/>
          <w:i/>
          <w:iCs/>
          <w:sz w:val="18"/>
          <w:szCs w:val="18"/>
        </w:rPr>
      </w:pPr>
      <w:r>
        <w:rPr>
          <w:i/>
          <w:iCs/>
          <w:sz w:val="18"/>
          <w:szCs w:val="18"/>
        </w:rPr>
        <w:t>3389672483 -mail :redazione@tempimodernidee.com</w:t>
      </w:r>
    </w:p>
    <w:p>
      <w:pPr>
        <w:pStyle w:val="Normal"/>
        <w:jc w:val="both"/>
        <w:rPr>
          <w:sz w:val="18"/>
          <w:szCs w:val="18"/>
        </w:rPr>
      </w:pPr>
      <w:r>
        <w:rPr>
          <w:sz w:val="18"/>
          <w:szCs w:val="18"/>
        </w:rPr>
      </w:r>
    </w:p>
    <w:p>
      <w:pPr>
        <w:pStyle w:val="Normal"/>
        <w:jc w:val="both"/>
        <w:rPr>
          <w:sz w:val="18"/>
          <w:szCs w:val="18"/>
        </w:rPr>
      </w:pPr>
      <w:r>
        <w:rPr>
          <w:sz w:val="18"/>
          <w:szCs w:val="18"/>
        </w:rPr>
        <w:t>Ufficio Stampa Fondazione della Comunità Salernitana ETS</w:t>
      </w:r>
    </w:p>
    <w:p>
      <w:pPr>
        <w:pStyle w:val="Normal"/>
        <w:jc w:val="both"/>
        <w:rPr>
          <w:b/>
          <w:b/>
          <w:bCs/>
          <w:sz w:val="18"/>
          <w:szCs w:val="18"/>
        </w:rPr>
      </w:pPr>
      <w:r>
        <w:rPr>
          <w:b/>
          <w:bCs/>
          <w:sz w:val="18"/>
          <w:szCs w:val="18"/>
        </w:rPr>
        <w:t>Rosita Sosto Archimio</w:t>
      </w:r>
    </w:p>
    <w:p>
      <w:pPr>
        <w:pStyle w:val="Normal"/>
        <w:jc w:val="both"/>
        <w:rPr>
          <w:i/>
          <w:i/>
          <w:iCs/>
          <w:sz w:val="18"/>
          <w:szCs w:val="18"/>
        </w:rPr>
      </w:pPr>
      <w:r>
        <w:rPr>
          <w:i/>
          <w:iCs/>
          <w:sz w:val="18"/>
          <w:szCs w:val="18"/>
        </w:rPr>
        <w:t>3933587430- mail ufficiostampa@fondazionecomunitasalernitana.it</w:t>
      </w:r>
    </w:p>
    <w:sectPr>
      <w:headerReference w:type="default" r:id="rId2"/>
      <w:footerReference w:type="default" r:id="rId3"/>
      <w:type w:val="nextPage"/>
      <w:pgSz w:w="11906" w:h="16838"/>
      <w:pgMar w:left="1134" w:right="1134" w:gutter="0" w:header="680" w:top="2552"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tabs>
        <w:tab w:val="clear" w:pos="4819"/>
        <w:tab w:val="clear" w:pos="9638"/>
        <w:tab w:val="center" w:pos="1134" w:leader="none"/>
        <w:tab w:val="center" w:pos="8222" w:leader="none"/>
      </w:tabs>
      <w:rPr>
        <w:color w:val="7F7F7F"/>
        <w:sz w:val="16"/>
        <w:szCs w:val="16"/>
      </w:rPr>
    </w:pPr>
    <w:r>
      <mc:AlternateContent>
        <mc:Choice Requires="wps">
          <w:drawing>
            <wp:anchor behindDoc="1" distT="0" distB="12700" distL="0" distR="15875" simplePos="0" locked="0" layoutInCell="0" allowOverlap="1" relativeHeight="9" wp14:anchorId="7936E5A8">
              <wp:simplePos x="0" y="0"/>
              <wp:positionH relativeFrom="column">
                <wp:posOffset>0</wp:posOffset>
              </wp:positionH>
              <wp:positionV relativeFrom="paragraph">
                <wp:posOffset>-195580</wp:posOffset>
              </wp:positionV>
              <wp:extent cx="6068060" cy="0"/>
              <wp:effectExtent l="635" t="5080" r="0" b="5080"/>
              <wp:wrapNone/>
              <wp:docPr id="2" name="Connettore dritto 4"/>
              <a:graphic xmlns:a="http://schemas.openxmlformats.org/drawingml/2006/main">
                <a:graphicData uri="http://schemas.microsoft.com/office/word/2010/wordprocessingShape">
                  <wps:wsp>
                    <wps:cNvSpPr/>
                    <wps:spPr>
                      <a:xfrm>
                        <a:off x="0" y="0"/>
                        <a:ext cx="6068160" cy="0"/>
                      </a:xfrm>
                      <a:prstGeom prst="line">
                        <a:avLst/>
                      </a:prstGeom>
                      <a:ln w="9525">
                        <a:solidFill>
                          <a:srgbClr val="ffffff">
                            <a:lumMod val="50000"/>
                          </a:srgbClr>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15.4pt" to="477.75pt,-15.4pt" ID="Connettore dritto 4" stroked="t" o:allowincell="f" style="position:absolute" wp14:anchorId="7936E5A8">
              <v:stroke color="gray" weight="9360" joinstyle="miter" endcap="flat"/>
              <v:fill o:detectmouseclick="t" on="false"/>
              <w10:wrap type="none"/>
            </v:line>
          </w:pict>
        </mc:Fallback>
      </mc:AlternateContent>
    </w:r>
    <w:r>
      <w:rPr>
        <w:color w:val="7F7F7F"/>
        <w:sz w:val="16"/>
        <w:szCs w:val="16"/>
      </w:rPr>
      <w:tab/>
    </w:r>
    <w:r>
      <w:rPr/>
      <w:drawing>
        <wp:inline distT="0" distB="0" distL="0" distR="0">
          <wp:extent cx="848995" cy="336550"/>
          <wp:effectExtent l="0" t="0" r="0" b="0"/>
          <wp:docPr id="3"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
                  <pic:cNvPicPr>
                    <a:picLocks noChangeAspect="1" noChangeArrowheads="1"/>
                  </pic:cNvPicPr>
                </pic:nvPicPr>
                <pic:blipFill>
                  <a:blip r:embed="rId1"/>
                  <a:stretch>
                    <a:fillRect/>
                  </a:stretch>
                </pic:blipFill>
                <pic:spPr bwMode="auto">
                  <a:xfrm>
                    <a:off x="0" y="0"/>
                    <a:ext cx="848995" cy="336550"/>
                  </a:xfrm>
                  <a:prstGeom prst="rect">
                    <a:avLst/>
                  </a:prstGeom>
                </pic:spPr>
              </pic:pic>
            </a:graphicData>
          </a:graphic>
        </wp:inline>
      </w:drawing>
    </w:r>
    <w:r>
      <w:rPr>
        <w:color w:val="7F7F7F"/>
        <w:sz w:val="16"/>
        <w:szCs w:val="16"/>
      </w:rPr>
      <w:tab/>
    </w:r>
    <w:r>
      <w:rPr/>
      <w:drawing>
        <wp:inline distT="0" distB="0" distL="0" distR="0">
          <wp:extent cx="1144905" cy="446405"/>
          <wp:effectExtent l="0" t="0" r="0" b="0"/>
          <wp:docPr id="4" name="Immagin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
                  <pic:cNvPicPr>
                    <a:picLocks noChangeAspect="1" noChangeArrowheads="1"/>
                  </pic:cNvPicPr>
                </pic:nvPicPr>
                <pic:blipFill>
                  <a:blip r:embed="rId2"/>
                  <a:stretch>
                    <a:fillRect/>
                  </a:stretch>
                </pic:blipFill>
                <pic:spPr bwMode="auto">
                  <a:xfrm>
                    <a:off x="0" y="0"/>
                    <a:ext cx="1144905" cy="44640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tabs>
        <w:tab w:val="clear" w:pos="4819"/>
        <w:tab w:val="clear" w:pos="9638"/>
        <w:tab w:val="center" w:pos="4820" w:leader="none"/>
        <w:tab w:val="left" w:pos="6627" w:leader="none"/>
      </w:tabs>
      <w:rPr/>
    </w:pPr>
    <w:r>
      <w:rPr/>
      <w:drawing>
        <wp:inline distT="0" distB="0" distL="0" distR="0">
          <wp:extent cx="3938905" cy="813435"/>
          <wp:effectExtent l="0" t="0" r="0" b="0"/>
          <wp:docPr id="1"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
                  <pic:cNvPicPr>
                    <a:picLocks noChangeAspect="1" noChangeArrowheads="1"/>
                  </pic:cNvPicPr>
                </pic:nvPicPr>
                <pic:blipFill>
                  <a:blip r:embed="rId1"/>
                  <a:stretch>
                    <a:fillRect/>
                  </a:stretch>
                </pic:blipFill>
                <pic:spPr bwMode="auto">
                  <a:xfrm>
                    <a:off x="0" y="0"/>
                    <a:ext cx="3938905" cy="813435"/>
                  </a:xfrm>
                  <a:prstGeom prst="rect">
                    <a:avLst/>
                  </a:prstGeom>
                </pic:spPr>
              </pic:pic>
            </a:graphicData>
          </a:graphic>
        </wp:inline>
      </w:drawing>
    </w:r>
  </w:p>
</w:hdr>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Times New Roman"/>
      <w:color w:val="auto"/>
      <w:kern w:val="0"/>
      <w:sz w:val="24"/>
      <w:szCs w:val="24"/>
      <w:lang w:eastAsia="en-US" w:val="it-IT"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7718a5"/>
    <w:rPr/>
  </w:style>
  <w:style w:type="character" w:styleId="PidipaginaCarattere" w:customStyle="1">
    <w:name w:val="Piè di pagina Carattere"/>
    <w:basedOn w:val="DefaultParagraphFont"/>
    <w:uiPriority w:val="99"/>
    <w:qFormat/>
    <w:rsid w:val="007718a5"/>
    <w:rPr/>
  </w:style>
  <w:style w:type="character" w:styleId="CollegamentoInternet">
    <w:name w:val="Hyperlink"/>
    <w:basedOn w:val="DefaultParagraphFont"/>
    <w:uiPriority w:val="99"/>
    <w:unhideWhenUsed/>
    <w:rsid w:val="0014325b"/>
    <w:rPr>
      <w:color w:val="0563C1" w:themeColor="hyperlink"/>
      <w:u w:val="singl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7718a5"/>
    <w:pPr>
      <w:tabs>
        <w:tab w:val="clear" w:pos="709"/>
        <w:tab w:val="center" w:pos="4819" w:leader="none"/>
        <w:tab w:val="right" w:pos="9638" w:leader="none"/>
      </w:tabs>
    </w:pPr>
    <w:rPr/>
  </w:style>
  <w:style w:type="paragraph" w:styleId="Pidipagina">
    <w:name w:val="Footer"/>
    <w:basedOn w:val="Normal"/>
    <w:link w:val="PidipaginaCarattere"/>
    <w:uiPriority w:val="99"/>
    <w:unhideWhenUsed/>
    <w:rsid w:val="007718a5"/>
    <w:pPr>
      <w:tabs>
        <w:tab w:val="clear" w:pos="709"/>
        <w:tab w:val="center" w:pos="4819" w:leader="none"/>
        <w:tab w:val="right" w:pos="9638" w:leader="none"/>
      </w:tabs>
    </w:pPr>
    <w:rPr/>
  </w:style>
  <w:style w:type="paragraph" w:styleId="NormalWeb">
    <w:name w:val="Normal (Web)"/>
    <w:basedOn w:val="Normal"/>
    <w:uiPriority w:val="99"/>
    <w:unhideWhenUsed/>
    <w:qFormat/>
    <w:rsid w:val="004055cd"/>
    <w:pPr>
      <w:spacing w:beforeAutospacing="1" w:afterAutospacing="1"/>
    </w:pPr>
    <w:rPr>
      <w:rFonts w:ascii="Times New Roman" w:hAnsi="Times New Roman" w:eastAsia="Times New Roman"/>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ELLATESI">
    <w:name w:val="TABELLA TESI"/>
    <w:basedOn w:val="Tabellanormale"/>
    <w:uiPriority w:val="99"/>
    <w:rsid w:val="0086668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00F80-B20A-2E40-AA22-3C56518EF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LibreOffice/7.4.3.2$Windows_X86_64 LibreOffice_project/1048a8393ae2eeec98dff31b5c133c5f1d08b890</Application>
  <AppVersion>15.0000</AppVersion>
  <Pages>3</Pages>
  <Words>679</Words>
  <Characters>3952</Characters>
  <CharactersWithSpaces>4609</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2025-12-10T08:18:00Z</dcterms:created>
  <dc:creator>Microsoft Office User</dc:creator>
  <dc:description/>
  <dc:language>it-IT</dc:language>
  <cp:lastModifiedBy>carlo pecoraro</cp:lastModifiedBy>
  <cp:lastPrinted>2025-02-21T17:38:00Z</cp:lastPrinted>
  <dcterms:modified xsi:type="dcterms:W3CDTF">2025-12-10T12:22:00Z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